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2" w:rsidRDefault="007E0D52" w:rsidP="007E0D52">
      <w:pPr>
        <w:rPr>
          <w:b/>
          <w:color w:val="000080"/>
          <w:sz w:val="44"/>
        </w:rPr>
      </w:pPr>
      <w:r>
        <w:rPr>
          <w:b/>
          <w:noProof/>
          <w:color w:val="000080"/>
          <w:sz w:val="44"/>
        </w:rPr>
        <w:drawing>
          <wp:inline distT="0" distB="0" distL="0" distR="0">
            <wp:extent cx="18097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D52" w:rsidRPr="00421078" w:rsidRDefault="007E0D52" w:rsidP="007E0D52">
      <w:pPr>
        <w:jc w:val="center"/>
        <w:rPr>
          <w:b/>
          <w:color w:val="000080"/>
          <w:sz w:val="44"/>
        </w:rPr>
      </w:pPr>
      <w:r w:rsidRPr="00421078">
        <w:rPr>
          <w:b/>
          <w:color w:val="000080"/>
          <w:sz w:val="44"/>
        </w:rPr>
        <w:t>Темы работ</w:t>
      </w:r>
      <w:r w:rsidR="005D1479">
        <w:rPr>
          <w:b/>
          <w:color w:val="000080"/>
          <w:sz w:val="44"/>
        </w:rPr>
        <w:t xml:space="preserve"> 201</w:t>
      </w:r>
      <w:r w:rsidR="00132A1C">
        <w:rPr>
          <w:b/>
          <w:color w:val="000080"/>
          <w:sz w:val="44"/>
          <w:lang w:val="en-US"/>
        </w:rPr>
        <w:t>4</w:t>
      </w:r>
      <w:r w:rsidRPr="00421078">
        <w:rPr>
          <w:b/>
          <w:color w:val="000080"/>
          <w:sz w:val="44"/>
        </w:rPr>
        <w:t>:</w:t>
      </w:r>
    </w:p>
    <w:p w:rsidR="007E0D52" w:rsidRDefault="007E0D52" w:rsidP="007E0D52">
      <w:pPr>
        <w:rPr>
          <w:b/>
          <w:i/>
          <w:color w:val="00008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980"/>
        <w:gridCol w:w="2880"/>
      </w:tblGrid>
      <w:tr w:rsidR="007E0D52" w:rsidRPr="008D1208" w:rsidTr="006542F6">
        <w:trPr>
          <w:trHeight w:val="630"/>
        </w:trPr>
        <w:tc>
          <w:tcPr>
            <w:tcW w:w="498" w:type="dxa"/>
            <w:shd w:val="clear" w:color="auto" w:fill="auto"/>
            <w:noWrap/>
            <w:hideMark/>
          </w:tcPr>
          <w:p w:rsidR="007E0D52" w:rsidRPr="008D1208" w:rsidRDefault="007E0D52" w:rsidP="00FF3706">
            <w:pPr>
              <w:rPr>
                <w:color w:val="000080"/>
              </w:rPr>
            </w:pPr>
          </w:p>
          <w:p w:rsidR="007E0D52" w:rsidRPr="008D1208" w:rsidRDefault="007E0D52" w:rsidP="00FF3706">
            <w:pPr>
              <w:rPr>
                <w:color w:val="000080"/>
              </w:rPr>
            </w:pPr>
            <w:r w:rsidRPr="008D1208">
              <w:rPr>
                <w:b/>
                <w:color w:val="000080"/>
                <w:sz w:val="28"/>
              </w:rPr>
              <w:t>№</w:t>
            </w:r>
          </w:p>
        </w:tc>
        <w:tc>
          <w:tcPr>
            <w:tcW w:w="5980" w:type="dxa"/>
            <w:shd w:val="clear" w:color="auto" w:fill="auto"/>
            <w:hideMark/>
          </w:tcPr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</w:p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  <w:r w:rsidRPr="008D1208">
              <w:rPr>
                <w:b/>
                <w:color w:val="000080"/>
                <w:sz w:val="28"/>
              </w:rPr>
              <w:t>ТЕМА</w:t>
            </w:r>
          </w:p>
        </w:tc>
        <w:tc>
          <w:tcPr>
            <w:tcW w:w="2880" w:type="dxa"/>
            <w:shd w:val="clear" w:color="auto" w:fill="auto"/>
            <w:hideMark/>
          </w:tcPr>
          <w:p w:rsidR="007E0D52" w:rsidRPr="008D1208" w:rsidRDefault="007E0D52" w:rsidP="00FF3706">
            <w:pPr>
              <w:jc w:val="center"/>
              <w:rPr>
                <w:b/>
                <w:color w:val="000080"/>
                <w:sz w:val="28"/>
              </w:rPr>
            </w:pPr>
            <w:r w:rsidRPr="008D1208">
              <w:rPr>
                <w:b/>
                <w:color w:val="000080"/>
                <w:sz w:val="28"/>
              </w:rPr>
              <w:t>Информационно-исследовательская база</w:t>
            </w:r>
          </w:p>
        </w:tc>
      </w:tr>
      <w:tr w:rsidR="00132A1C" w:rsidRPr="008D1208" w:rsidTr="00132A1C">
        <w:trPr>
          <w:trHeight w:val="1512"/>
        </w:trPr>
        <w:tc>
          <w:tcPr>
            <w:tcW w:w="498" w:type="dxa"/>
            <w:shd w:val="clear" w:color="auto" w:fill="auto"/>
            <w:noWrap/>
            <w:hideMark/>
          </w:tcPr>
          <w:p w:rsidR="00132A1C" w:rsidRPr="008D1208" w:rsidRDefault="00132A1C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</w:t>
            </w:r>
          </w:p>
        </w:tc>
        <w:tc>
          <w:tcPr>
            <w:tcW w:w="5980" w:type="dxa"/>
            <w:shd w:val="clear" w:color="auto" w:fill="auto"/>
          </w:tcPr>
          <w:p w:rsidR="00132A1C" w:rsidRDefault="00132A1C">
            <w:pPr>
              <w:rPr>
                <w:rFonts w:ascii="Calibri" w:eastAsiaTheme="minorHAnsi" w:hAnsi="Calibri"/>
                <w:color w:val="000080"/>
                <w:sz w:val="22"/>
                <w:szCs w:val="22"/>
                <w:lang w:eastAsia="en-US"/>
              </w:rPr>
            </w:pPr>
            <w:r>
              <w:rPr>
                <w:color w:val="000080"/>
              </w:rPr>
              <w:t xml:space="preserve">Страхование ответственности заемщика (страхование финансового риска банка-заимодавца) при ипотечном кредитовании. </w:t>
            </w:r>
          </w:p>
          <w:p w:rsidR="00132A1C" w:rsidRDefault="00132A1C">
            <w:pPr>
              <w:rPr>
                <w:color w:val="000080"/>
              </w:rPr>
            </w:pPr>
            <w:r>
              <w:rPr>
                <w:color w:val="000080"/>
              </w:rPr>
              <w:t xml:space="preserve">Текущее состояние и динамика рынка и перспективы развития в связи с  внесенными изменениями в ФЗ 102 «Об ипотеке». </w:t>
            </w:r>
          </w:p>
          <w:p w:rsidR="00132A1C" w:rsidRPr="008D1208" w:rsidRDefault="00132A1C" w:rsidP="00FF3706">
            <w:pPr>
              <w:rPr>
                <w:color w:val="000080"/>
              </w:rPr>
            </w:pPr>
            <w:r>
              <w:rPr>
                <w:color w:val="000080"/>
              </w:rPr>
              <w:t>Возможности повышения спроса со стороны населения.</w:t>
            </w:r>
          </w:p>
        </w:tc>
        <w:tc>
          <w:tcPr>
            <w:tcW w:w="2880" w:type="dxa"/>
            <w:shd w:val="clear" w:color="auto" w:fill="auto"/>
          </w:tcPr>
          <w:p w:rsidR="00132A1C" w:rsidRPr="008D1208" w:rsidRDefault="00132A1C" w:rsidP="00FF3706">
            <w:pPr>
              <w:rPr>
                <w:color w:val="000080"/>
              </w:rPr>
            </w:pPr>
            <w:r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132A1C" w:rsidRPr="008D1208" w:rsidTr="006542F6">
        <w:trPr>
          <w:trHeight w:val="1560"/>
        </w:trPr>
        <w:tc>
          <w:tcPr>
            <w:tcW w:w="498" w:type="dxa"/>
            <w:shd w:val="clear" w:color="auto" w:fill="auto"/>
            <w:noWrap/>
            <w:hideMark/>
          </w:tcPr>
          <w:p w:rsidR="00132A1C" w:rsidRPr="008D1208" w:rsidRDefault="00132A1C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2</w:t>
            </w:r>
          </w:p>
        </w:tc>
        <w:tc>
          <w:tcPr>
            <w:tcW w:w="5980" w:type="dxa"/>
            <w:shd w:val="clear" w:color="auto" w:fill="auto"/>
          </w:tcPr>
          <w:p w:rsidR="00132A1C" w:rsidRDefault="00132A1C">
            <w:pPr>
              <w:rPr>
                <w:rFonts w:ascii="Calibri" w:eastAsiaTheme="minorHAnsi" w:hAnsi="Calibri"/>
                <w:color w:val="000080"/>
                <w:lang w:eastAsia="en-US"/>
              </w:rPr>
            </w:pPr>
            <w:r>
              <w:rPr>
                <w:color w:val="000080"/>
              </w:rPr>
              <w:t>Новые страховые продукты, связанные с ипотечным кредитованием.</w:t>
            </w:r>
          </w:p>
          <w:p w:rsidR="00132A1C" w:rsidRPr="008D1208" w:rsidRDefault="00132A1C" w:rsidP="00FF3706">
            <w:pPr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Bridge</w:t>
            </w:r>
            <w:proofErr w:type="spellEnd"/>
            <w:r>
              <w:rPr>
                <w:color w:val="000080"/>
              </w:rPr>
              <w:t xml:space="preserve"> </w:t>
            </w:r>
            <w:proofErr w:type="spellStart"/>
            <w:r>
              <w:rPr>
                <w:color w:val="000080"/>
              </w:rPr>
              <w:t>insurance</w:t>
            </w:r>
            <w:proofErr w:type="spellEnd"/>
            <w:r>
              <w:rPr>
                <w:color w:val="000080"/>
              </w:rPr>
              <w:t>: страхование при рефинансировании кредитов. Западная практика продаж и урегулирования убытков. Перспективы внедрения на российском рынке.</w:t>
            </w:r>
          </w:p>
        </w:tc>
        <w:tc>
          <w:tcPr>
            <w:tcW w:w="2880" w:type="dxa"/>
            <w:shd w:val="clear" w:color="auto" w:fill="auto"/>
          </w:tcPr>
          <w:p w:rsidR="00132A1C" w:rsidRPr="008D1208" w:rsidRDefault="00132A1C" w:rsidP="00FF3706">
            <w:pPr>
              <w:rPr>
                <w:color w:val="000080"/>
              </w:rPr>
            </w:pPr>
            <w:r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132A1C" w:rsidRPr="008D1208" w:rsidTr="006542F6">
        <w:trPr>
          <w:trHeight w:val="1245"/>
        </w:trPr>
        <w:tc>
          <w:tcPr>
            <w:tcW w:w="498" w:type="dxa"/>
            <w:shd w:val="clear" w:color="auto" w:fill="auto"/>
            <w:noWrap/>
            <w:hideMark/>
          </w:tcPr>
          <w:p w:rsidR="00132A1C" w:rsidRPr="008D1208" w:rsidRDefault="00132A1C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3</w:t>
            </w:r>
          </w:p>
        </w:tc>
        <w:tc>
          <w:tcPr>
            <w:tcW w:w="5980" w:type="dxa"/>
            <w:shd w:val="clear" w:color="auto" w:fill="auto"/>
          </w:tcPr>
          <w:p w:rsidR="00132A1C" w:rsidRPr="008D1208" w:rsidRDefault="00132A1C" w:rsidP="006542F6">
            <w:pPr>
              <w:rPr>
                <w:color w:val="000080"/>
              </w:rPr>
            </w:pPr>
            <w:r>
              <w:rPr>
                <w:color w:val="000080"/>
              </w:rPr>
              <w:t xml:space="preserve"> Краткосрочные (1,5-2 года) и среднесрочные (2,5-5 лет) перспективы развития рынка классического ипотечного страхования: объем рынка, состав участников, объем страхового покрытия, возможности </w:t>
            </w:r>
            <w:proofErr w:type="gramStart"/>
            <w:r>
              <w:rPr>
                <w:color w:val="000080"/>
              </w:rPr>
              <w:t>кросс-продаж</w:t>
            </w:r>
            <w:proofErr w:type="gramEnd"/>
            <w:r>
              <w:rPr>
                <w:color w:val="00008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132A1C" w:rsidRDefault="00132A1C">
            <w:pPr>
              <w:rPr>
                <w:rFonts w:ascii="Calibri" w:eastAsiaTheme="minorHAnsi" w:hAnsi="Calibri"/>
                <w:color w:val="000080"/>
                <w:sz w:val="22"/>
                <w:szCs w:val="22"/>
                <w:lang w:eastAsia="en-US"/>
              </w:rPr>
            </w:pPr>
            <w:r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  <w:p w:rsidR="00132A1C" w:rsidRPr="008D1208" w:rsidRDefault="00132A1C" w:rsidP="00FF3706">
            <w:pPr>
              <w:rPr>
                <w:color w:val="000080"/>
              </w:rPr>
            </w:pPr>
          </w:p>
        </w:tc>
      </w:tr>
      <w:tr w:rsidR="00132A1C" w:rsidRPr="008D1208" w:rsidTr="006542F6">
        <w:trPr>
          <w:trHeight w:val="600"/>
        </w:trPr>
        <w:tc>
          <w:tcPr>
            <w:tcW w:w="498" w:type="dxa"/>
            <w:shd w:val="clear" w:color="auto" w:fill="auto"/>
            <w:noWrap/>
            <w:hideMark/>
          </w:tcPr>
          <w:p w:rsidR="00132A1C" w:rsidRPr="008D1208" w:rsidRDefault="00132A1C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4</w:t>
            </w:r>
          </w:p>
        </w:tc>
        <w:tc>
          <w:tcPr>
            <w:tcW w:w="5980" w:type="dxa"/>
            <w:shd w:val="clear" w:color="auto" w:fill="auto"/>
          </w:tcPr>
          <w:p w:rsidR="00132A1C" w:rsidRPr="008D1208" w:rsidRDefault="00132A1C" w:rsidP="0085248C">
            <w:pPr>
              <w:rPr>
                <w:color w:val="000080"/>
              </w:rPr>
            </w:pPr>
            <w:r>
              <w:rPr>
                <w:color w:val="000080"/>
              </w:rPr>
              <w:t xml:space="preserve">Перспективы развития </w:t>
            </w:r>
            <w:proofErr w:type="spellStart"/>
            <w:r>
              <w:rPr>
                <w:color w:val="000080"/>
              </w:rPr>
              <w:t>банкострахования</w:t>
            </w:r>
            <w:proofErr w:type="spellEnd"/>
            <w:r>
              <w:rPr>
                <w:color w:val="000080"/>
              </w:rPr>
              <w:t xml:space="preserve"> в РФ в связи с внесением Поправок (ФЗ 234) к Закону о страховом деле и ужесточением требований ЦБ РФ к финансовому состоянию участников рынка. Сравнительный анализ ситуации 2013-2014 гг. с перспективами 2015-2016 гг. </w:t>
            </w:r>
            <w:proofErr w:type="gramStart"/>
            <w:r>
              <w:rPr>
                <w:color w:val="000080"/>
              </w:rPr>
              <w:t>Продажи</w:t>
            </w:r>
            <w:proofErr w:type="gramEnd"/>
            <w:r>
              <w:rPr>
                <w:color w:val="000080"/>
              </w:rPr>
              <w:t xml:space="preserve"> каких продуктов буду определять состояние рынка? Какие тенденции будут наблюдаться  в изменениях стоимости страхования, объема покрытия и комиссии посредников (банков)?</w:t>
            </w:r>
          </w:p>
        </w:tc>
        <w:tc>
          <w:tcPr>
            <w:tcW w:w="2880" w:type="dxa"/>
            <w:shd w:val="clear" w:color="auto" w:fill="auto"/>
          </w:tcPr>
          <w:p w:rsidR="00132A1C" w:rsidRPr="008D1208" w:rsidRDefault="00132A1C" w:rsidP="00FF3706">
            <w:pPr>
              <w:rPr>
                <w:color w:val="000080"/>
              </w:rPr>
            </w:pPr>
            <w:r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067E90" w:rsidRPr="008D1208" w:rsidTr="006542F6">
        <w:trPr>
          <w:trHeight w:val="555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5</w:t>
            </w:r>
          </w:p>
        </w:tc>
        <w:tc>
          <w:tcPr>
            <w:tcW w:w="59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067E90">
              <w:rPr>
                <w:color w:val="000080"/>
              </w:rPr>
              <w:t>Реформа ОСАГО. Роль страховщиков, государства, судов, «автоюристов» в развитии системного кризиса отрасли. Прогнозы развития ОСАГО и пути выхода из кризиса.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1350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6</w:t>
            </w:r>
          </w:p>
        </w:tc>
        <w:tc>
          <w:tcPr>
            <w:tcW w:w="59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067E90">
              <w:rPr>
                <w:color w:val="000080"/>
              </w:rPr>
              <w:t>Деятельность «автоюристов-</w:t>
            </w:r>
            <w:proofErr w:type="spellStart"/>
            <w:r w:rsidRPr="00067E90">
              <w:rPr>
                <w:color w:val="000080"/>
              </w:rPr>
              <w:t>антистраховщиков</w:t>
            </w:r>
            <w:proofErr w:type="spellEnd"/>
            <w:r w:rsidRPr="00067E90">
              <w:rPr>
                <w:color w:val="000080"/>
              </w:rPr>
              <w:t>» в ОСАГО и каско. Предпосылки возникновения и перспективы существования бизнеса «автоюристов» в сфере автострахования.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1365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lastRenderedPageBreak/>
              <w:t>7</w:t>
            </w:r>
          </w:p>
        </w:tc>
        <w:tc>
          <w:tcPr>
            <w:tcW w:w="59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067E90">
              <w:rPr>
                <w:color w:val="000080"/>
              </w:rPr>
              <w:t>Современная судебная практика в ОСАГО, каско, страховании имущества физических лиц и её влияние на развитие розничных видов страхования в России.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1395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8</w:t>
            </w:r>
          </w:p>
        </w:tc>
        <w:tc>
          <w:tcPr>
            <w:tcW w:w="5980" w:type="dxa"/>
            <w:shd w:val="clear" w:color="auto" w:fill="auto"/>
          </w:tcPr>
          <w:p w:rsidR="00067E90" w:rsidRPr="008D1208" w:rsidRDefault="00067E90" w:rsidP="00CC32CC">
            <w:pPr>
              <w:rPr>
                <w:color w:val="000080"/>
              </w:rPr>
            </w:pPr>
            <w:r w:rsidRPr="00067E90">
              <w:rPr>
                <w:color w:val="000080"/>
              </w:rPr>
              <w:t xml:space="preserve">Развитие продуктовой линейки АВТОКАСКО на фоне уменьшения </w:t>
            </w:r>
            <w:proofErr w:type="spellStart"/>
            <w:r w:rsidRPr="00067E90">
              <w:rPr>
                <w:color w:val="000080"/>
              </w:rPr>
              <w:t>маржинальности</w:t>
            </w:r>
            <w:proofErr w:type="spellEnd"/>
            <w:r w:rsidRPr="00067E90">
              <w:rPr>
                <w:color w:val="000080"/>
              </w:rPr>
              <w:t xml:space="preserve"> автострахования в России. Как замедлить рост тарифов в условиях растущей убыточности.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CC32CC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615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9</w:t>
            </w:r>
          </w:p>
        </w:tc>
        <w:tc>
          <w:tcPr>
            <w:tcW w:w="5980" w:type="dxa"/>
            <w:shd w:val="clear" w:color="auto" w:fill="auto"/>
          </w:tcPr>
          <w:p w:rsidR="00067E90" w:rsidRPr="009E6A2F" w:rsidRDefault="00067E90" w:rsidP="00CC32CC">
            <w:pPr>
              <w:rPr>
                <w:color w:val="000080"/>
              </w:rPr>
            </w:pPr>
            <w:r w:rsidRPr="00067E90">
              <w:rPr>
                <w:color w:val="000080"/>
              </w:rPr>
              <w:t>Инновационные технологии урегулирования убытков АВТОКАСКО в России и за рубежом. Проблемы и перспективы развития технологий урегулирования.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CC32CC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645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10</w:t>
            </w:r>
          </w:p>
        </w:tc>
        <w:tc>
          <w:tcPr>
            <w:tcW w:w="5980" w:type="dxa"/>
            <w:shd w:val="clear" w:color="auto" w:fill="auto"/>
          </w:tcPr>
          <w:p w:rsidR="00067E90" w:rsidRPr="008D1208" w:rsidRDefault="00067E90" w:rsidP="00CC32CC">
            <w:pPr>
              <w:rPr>
                <w:color w:val="000080"/>
              </w:rPr>
            </w:pPr>
            <w:r w:rsidRPr="00067E90">
              <w:rPr>
                <w:color w:val="000080"/>
              </w:rPr>
              <w:t xml:space="preserve">Современное состояние и перспективы развития добровольного страхования имущества физических лиц в России. Почему люди покупают АВТОКАСКО, но </w:t>
            </w:r>
            <w:proofErr w:type="gramStart"/>
            <w:r w:rsidRPr="00067E90">
              <w:rPr>
                <w:color w:val="000080"/>
              </w:rPr>
              <w:t>не охотно</w:t>
            </w:r>
            <w:proofErr w:type="gramEnd"/>
            <w:r w:rsidRPr="00067E90">
              <w:rPr>
                <w:color w:val="000080"/>
              </w:rPr>
              <w:t xml:space="preserve"> страхуют свою недвижимость.</w:t>
            </w:r>
          </w:p>
        </w:tc>
        <w:tc>
          <w:tcPr>
            <w:tcW w:w="2880" w:type="dxa"/>
            <w:shd w:val="clear" w:color="auto" w:fill="auto"/>
          </w:tcPr>
          <w:p w:rsidR="00067E90" w:rsidRPr="008D1208" w:rsidRDefault="00067E90" w:rsidP="00CC32CC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067E90" w:rsidRPr="008D1208" w:rsidTr="006542F6">
        <w:trPr>
          <w:trHeight w:val="660"/>
        </w:trPr>
        <w:tc>
          <w:tcPr>
            <w:tcW w:w="498" w:type="dxa"/>
            <w:shd w:val="clear" w:color="auto" w:fill="auto"/>
            <w:noWrap/>
            <w:hideMark/>
          </w:tcPr>
          <w:p w:rsidR="00067E90" w:rsidRPr="008D1208" w:rsidRDefault="00067E9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11</w:t>
            </w:r>
          </w:p>
        </w:tc>
        <w:tc>
          <w:tcPr>
            <w:tcW w:w="5980" w:type="dxa"/>
            <w:shd w:val="clear" w:color="auto" w:fill="auto"/>
          </w:tcPr>
          <w:p w:rsidR="00067E90" w:rsidRPr="00067E90" w:rsidRDefault="00067E90" w:rsidP="00067E9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</w:p>
          <w:p w:rsidR="00067E90" w:rsidRDefault="00067E90" w:rsidP="00067E9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067E90">
              <w:rPr>
                <w:rFonts w:ascii="Calibri" w:eastAsiaTheme="minorHAnsi" w:hAnsi="Calibri" w:cs="Calibri"/>
                <w:color w:val="000080"/>
                <w:lang w:eastAsia="en-US"/>
              </w:rPr>
              <w:t>Меры предотвращения страхового мошенничества в страховании имущества физических лиц в России. Способы взаимодействия страховых компаний и перспективы создания единого банка данных о ненадежных клиентах.</w:t>
            </w:r>
          </w:p>
        </w:tc>
        <w:tc>
          <w:tcPr>
            <w:tcW w:w="2880" w:type="dxa"/>
            <w:shd w:val="clear" w:color="auto" w:fill="auto"/>
          </w:tcPr>
          <w:p w:rsidR="00067E90" w:rsidRPr="00A83AE0" w:rsidRDefault="00067E90">
            <w:pPr>
              <w:rPr>
                <w:color w:val="000080"/>
              </w:rPr>
            </w:pPr>
            <w:r w:rsidRPr="007423BD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E31860" w:rsidRPr="008D1208" w:rsidTr="006542F6">
        <w:trPr>
          <w:trHeight w:val="765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12</w:t>
            </w:r>
          </w:p>
        </w:tc>
        <w:tc>
          <w:tcPr>
            <w:tcW w:w="5980" w:type="dxa"/>
            <w:shd w:val="clear" w:color="auto" w:fill="auto"/>
          </w:tcPr>
          <w:p w:rsid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proofErr w:type="gramStart"/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Правовое регулирование договора страхования в правовых системах зарубежных стран (возможные варианты:</w:t>
            </w:r>
            <w:proofErr w:type="gramEnd"/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 xml:space="preserve"> </w:t>
            </w:r>
            <w:proofErr w:type="gramStart"/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Великобритания, Франция или Германия).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1020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13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Правовое регулирование временных ограничительных мер экономического характера (санкций) в законодательстве США и ЕС и их реализация в международной торговле (на примере страхования и перестрахования).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885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t>14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Правовое регулирование деятельности страховых компаний в США, Великобритании, Франции и Германии в условиях глобализации страхового рынка. Сравнительно-правовой анализ.</w:t>
            </w:r>
          </w:p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990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FF3706">
            <w:pPr>
              <w:rPr>
                <w:color w:val="000080"/>
              </w:rPr>
            </w:pPr>
            <w:r w:rsidRPr="008D1208">
              <w:rPr>
                <w:color w:val="000080"/>
              </w:rPr>
              <w:lastRenderedPageBreak/>
              <w:t>15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Практика организации урегулирования споров по массовым видам страхования с участием потребителей в странах ЕС и США: баланс защиты прав потребителя и мер по предотвращению страхового мошенничества.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930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16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 w:rsidP="00920FA6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Соотношение норм о добросовестности и грубой неосторожности в страховании, исследование зарубежного опыта, российской судебной практики.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 w:rsidP="00920FA6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855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17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 w:rsidP="00920FA6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Применение норм о добросовестности в страховании и отказ в судебной защите недобросовестным страхователям (выгодоприобретателям), исследование зарубежного опыта, российской судебной практики.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 w:rsidP="00920FA6">
            <w:pPr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1890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18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>
            <w:pPr>
              <w:spacing w:after="200" w:line="276" w:lineRule="auto"/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Свобода хозяйственной деятельности страховщика при осуществлении обязательных видов страхования, исследование зарубежных и российских законодательства и практики.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spacing w:after="200" w:line="276" w:lineRule="auto"/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E31860" w:rsidRPr="008D1208" w:rsidTr="006542F6">
        <w:trPr>
          <w:trHeight w:val="930"/>
        </w:trPr>
        <w:tc>
          <w:tcPr>
            <w:tcW w:w="498" w:type="dxa"/>
            <w:shd w:val="clear" w:color="auto" w:fill="auto"/>
            <w:noWrap/>
            <w:hideMark/>
          </w:tcPr>
          <w:p w:rsidR="00E31860" w:rsidRPr="008D1208" w:rsidRDefault="00E31860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19</w:t>
            </w:r>
          </w:p>
        </w:tc>
        <w:tc>
          <w:tcPr>
            <w:tcW w:w="5980" w:type="dxa"/>
            <w:shd w:val="clear" w:color="auto" w:fill="auto"/>
          </w:tcPr>
          <w:p w:rsidR="00E31860" w:rsidRPr="00E31860" w:rsidRDefault="00E31860">
            <w:pPr>
              <w:spacing w:after="200" w:line="276" w:lineRule="auto"/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Пределы норм о защите слабой стороны и свободе договора в договоре страхования.</w:t>
            </w:r>
          </w:p>
        </w:tc>
        <w:tc>
          <w:tcPr>
            <w:tcW w:w="2880" w:type="dxa"/>
            <w:shd w:val="clear" w:color="auto" w:fill="auto"/>
          </w:tcPr>
          <w:p w:rsidR="00E31860" w:rsidRPr="00E31860" w:rsidRDefault="00E31860">
            <w:pPr>
              <w:spacing w:after="200" w:line="276" w:lineRule="auto"/>
              <w:rPr>
                <w:rFonts w:ascii="Calibri" w:eastAsiaTheme="minorHAnsi" w:hAnsi="Calibri" w:cs="Calibri"/>
                <w:color w:val="000080"/>
                <w:lang w:eastAsia="en-US"/>
              </w:rPr>
            </w:pPr>
            <w:r w:rsidRPr="00E31860">
              <w:rPr>
                <w:rFonts w:ascii="Calibri" w:eastAsiaTheme="minorHAnsi" w:hAnsi="Calibri" w:cs="Calibri"/>
                <w:color w:val="000080"/>
                <w:lang w:eastAsia="en-US"/>
              </w:rPr>
              <w:t>Нормативно-правовые акты,  судебная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  <w:hideMark/>
          </w:tcPr>
          <w:p w:rsidR="002A2892" w:rsidRPr="008D1208" w:rsidRDefault="002A2892" w:rsidP="00920FA6">
            <w:pPr>
              <w:rPr>
                <w:color w:val="000080"/>
              </w:rPr>
            </w:pPr>
            <w:r w:rsidRPr="008D1208">
              <w:rPr>
                <w:color w:val="000080"/>
              </w:rPr>
              <w:t>20</w:t>
            </w:r>
          </w:p>
        </w:tc>
        <w:tc>
          <w:tcPr>
            <w:tcW w:w="59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Использование экспертных суждений в актуарных оценках. Мировой опыт, границы применения, методики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21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Влияние законодательных изменений в ОСАГО на добровольное автострахование. Современность и перспективы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</w:t>
            </w:r>
            <w:r w:rsidRPr="005001FC">
              <w:rPr>
                <w:color w:val="000080"/>
              </w:rPr>
              <w:lastRenderedPageBreak/>
              <w:t xml:space="preserve">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22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 xml:space="preserve">Финансовые инструменты в страховании жизни. Есть ли будущее программ </w:t>
            </w:r>
            <w:proofErr w:type="spellStart"/>
            <w:r w:rsidRPr="00684A4C">
              <w:rPr>
                <w:color w:val="000080"/>
              </w:rPr>
              <w:t>unit-linked</w:t>
            </w:r>
            <w:proofErr w:type="spellEnd"/>
            <w:r w:rsidRPr="00684A4C">
              <w:rPr>
                <w:color w:val="000080"/>
              </w:rPr>
              <w:t xml:space="preserve"> в России?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23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Вклад косвенных расходов (</w:t>
            </w:r>
            <w:proofErr w:type="gramStart"/>
            <w:r w:rsidRPr="00684A4C">
              <w:rPr>
                <w:color w:val="000080"/>
              </w:rPr>
              <w:t>сюрвейерские</w:t>
            </w:r>
            <w:proofErr w:type="gramEnd"/>
            <w:r w:rsidRPr="00684A4C">
              <w:rPr>
                <w:color w:val="000080"/>
              </w:rPr>
              <w:t>, адвокатские, корреспондентские  и т.п. расходов) в урегулирование крупных убытков. Зарубежный опыт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24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Практика тарификации «не массовых» видов страхования (корпоративных видов, эксклюзивных страховых продуктов). Зарубежный опыт.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25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Альтернативные формы передачи риска (ART). Зарубежный опыт и особенности практического использования.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26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Оптимизация перестраховочной защиты портфеля, состоящего из нескольких видов страхования.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27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684A4C">
              <w:rPr>
                <w:color w:val="000080"/>
              </w:rPr>
              <w:t>Практическое использование рисковых надбавок и рискового капитала в тарификации массовых и немассовых линий бизнеса. Зарубежный опыт.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28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proofErr w:type="gramStart"/>
            <w:r w:rsidRPr="002A2892">
              <w:rPr>
                <w:color w:val="000080"/>
              </w:rPr>
              <w:t>ИТ</w:t>
            </w:r>
            <w:proofErr w:type="gramEnd"/>
            <w:r w:rsidRPr="002A2892">
              <w:rPr>
                <w:color w:val="000080"/>
              </w:rPr>
              <w:t xml:space="preserve"> в актуарной деятельности. Инструменты обработки массивов данных для рабочих групп. Зарубежный опыт.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29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2A2892">
              <w:rPr>
                <w:color w:val="000080"/>
              </w:rPr>
              <w:t>Актуарный анализ деятельности компании на примере опубликованных годовых отчетов МСФО за ряд лет (страхование, отличное от страхования жизни)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30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2A2892">
              <w:rPr>
                <w:color w:val="000080"/>
              </w:rPr>
              <w:t>Построение процессов и методов актуарной деятельности, гарантирующих заранее заданную точность результата. Зависимость точности результатов оценок от увеличения количества используемых методов и исходных данных.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31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2A2892">
              <w:rPr>
                <w:color w:val="000080"/>
              </w:rPr>
              <w:t>Обзор зарубежной практики организации актуарных слу</w:t>
            </w:r>
            <w:proofErr w:type="gramStart"/>
            <w:r w:rsidRPr="002A2892">
              <w:rPr>
                <w:color w:val="000080"/>
              </w:rPr>
              <w:t>жб в кр</w:t>
            </w:r>
            <w:proofErr w:type="gramEnd"/>
            <w:r w:rsidRPr="002A2892">
              <w:rPr>
                <w:color w:val="000080"/>
              </w:rPr>
              <w:t>упных страховых компаниях. Роли и процессы на примере решения задач оценок страховых резервов, убыточности, тарификации.</w:t>
            </w:r>
            <w:r w:rsidRPr="002A2892">
              <w:rPr>
                <w:color w:val="000080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32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2A2892">
              <w:rPr>
                <w:color w:val="000080"/>
              </w:rPr>
              <w:t>Априорная и апостериорная тарификация в рисковых видах страхования.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33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2A2892">
            <w:pPr>
              <w:spacing w:after="200" w:line="276" w:lineRule="auto"/>
              <w:rPr>
                <w:color w:val="000080"/>
              </w:rPr>
            </w:pPr>
            <w:r w:rsidRPr="002A2892">
              <w:rPr>
                <w:color w:val="000080"/>
              </w:rPr>
              <w:t>Особенности тарификации в добровольном медицинском страховании.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2A2892">
            <w:pPr>
              <w:spacing w:after="200" w:line="276" w:lineRule="auto"/>
              <w:rPr>
                <w:color w:val="000080"/>
              </w:rPr>
            </w:pPr>
            <w:r w:rsidRPr="005001FC">
              <w:rPr>
                <w:color w:val="000080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2A2892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2A2892" w:rsidRPr="005001FC" w:rsidRDefault="002A2892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34</w:t>
            </w:r>
          </w:p>
        </w:tc>
        <w:tc>
          <w:tcPr>
            <w:tcW w:w="5980" w:type="dxa"/>
            <w:shd w:val="clear" w:color="auto" w:fill="auto"/>
          </w:tcPr>
          <w:p w:rsidR="002A2892" w:rsidRPr="00684A4C" w:rsidRDefault="00F73037">
            <w:pPr>
              <w:spacing w:after="200" w:line="276" w:lineRule="auto"/>
              <w:rPr>
                <w:color w:val="000080"/>
              </w:rPr>
            </w:pPr>
            <w:r w:rsidRPr="00F73037">
              <w:rPr>
                <w:color w:val="000080"/>
              </w:rPr>
              <w:t>Обзор видов мошенничества в страховой сфере и способы борьбы с ними с помощью информационных технологий.</w:t>
            </w:r>
          </w:p>
        </w:tc>
        <w:tc>
          <w:tcPr>
            <w:tcW w:w="2880" w:type="dxa"/>
            <w:shd w:val="clear" w:color="auto" w:fill="auto"/>
          </w:tcPr>
          <w:p w:rsidR="002A2892" w:rsidRPr="00A83AE0" w:rsidRDefault="00F73037">
            <w:pPr>
              <w:spacing w:after="200" w:line="276" w:lineRule="auto"/>
              <w:rPr>
                <w:color w:val="000080"/>
              </w:rPr>
            </w:pPr>
            <w:r w:rsidRPr="00F73037"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FC43AD" w:rsidRPr="008D1208" w:rsidTr="006542F6">
        <w:trPr>
          <w:trHeight w:val="1590"/>
        </w:trPr>
        <w:tc>
          <w:tcPr>
            <w:tcW w:w="498" w:type="dxa"/>
            <w:shd w:val="clear" w:color="auto" w:fill="auto"/>
            <w:noWrap/>
          </w:tcPr>
          <w:p w:rsidR="00FC43AD" w:rsidRDefault="00FC43AD" w:rsidP="00920FA6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35</w:t>
            </w:r>
          </w:p>
        </w:tc>
        <w:tc>
          <w:tcPr>
            <w:tcW w:w="5980" w:type="dxa"/>
            <w:shd w:val="clear" w:color="auto" w:fill="auto"/>
          </w:tcPr>
          <w:p w:rsidR="00FC43AD" w:rsidRPr="00F73037" w:rsidRDefault="00FC43AD">
            <w:pPr>
              <w:spacing w:after="200" w:line="276" w:lineRule="auto"/>
              <w:rPr>
                <w:color w:val="000080"/>
              </w:rPr>
            </w:pPr>
            <w:r w:rsidRPr="00FC43AD">
              <w:rPr>
                <w:color w:val="000080"/>
              </w:rPr>
              <w:t xml:space="preserve">Зарубежный опыт страхования путешествующих. Анализ страховых продуктов, ассистанс. Возможность применения его к российскому рынку.  </w:t>
            </w:r>
          </w:p>
        </w:tc>
        <w:tc>
          <w:tcPr>
            <w:tcW w:w="2880" w:type="dxa"/>
            <w:shd w:val="clear" w:color="auto" w:fill="auto"/>
          </w:tcPr>
          <w:p w:rsidR="00FC43AD" w:rsidRPr="00F73037" w:rsidRDefault="00FC43AD">
            <w:pPr>
              <w:spacing w:after="200" w:line="276" w:lineRule="auto"/>
              <w:rPr>
                <w:color w:val="000080"/>
              </w:rPr>
            </w:pPr>
            <w:r w:rsidRPr="00FC43AD">
              <w:rPr>
                <w:color w:val="000080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</w:tbl>
    <w:p w:rsidR="00734D77" w:rsidRDefault="00734D77">
      <w:bookmarkStart w:id="0" w:name="_GoBack"/>
      <w:bookmarkEnd w:id="0"/>
    </w:p>
    <w:sectPr w:rsidR="00734D77" w:rsidSect="006D37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C"/>
    <w:rsid w:val="00067E90"/>
    <w:rsid w:val="000B66FE"/>
    <w:rsid w:val="000F5C3E"/>
    <w:rsid w:val="00106D51"/>
    <w:rsid w:val="00132A1C"/>
    <w:rsid w:val="001F09FA"/>
    <w:rsid w:val="002A2892"/>
    <w:rsid w:val="00336520"/>
    <w:rsid w:val="004F06CC"/>
    <w:rsid w:val="005001FC"/>
    <w:rsid w:val="005706C9"/>
    <w:rsid w:val="005D1479"/>
    <w:rsid w:val="006542F6"/>
    <w:rsid w:val="00684A4C"/>
    <w:rsid w:val="00734D77"/>
    <w:rsid w:val="007423BD"/>
    <w:rsid w:val="007E0D52"/>
    <w:rsid w:val="0085248C"/>
    <w:rsid w:val="00920FA6"/>
    <w:rsid w:val="00A728A9"/>
    <w:rsid w:val="00A83AE0"/>
    <w:rsid w:val="00C513E6"/>
    <w:rsid w:val="00E05513"/>
    <w:rsid w:val="00E31860"/>
    <w:rsid w:val="00F73037"/>
    <w:rsid w:val="00FA3581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1053</Words>
  <Characters>8435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Дарья Владимировна (ДРП)</dc:creator>
  <cp:keywords/>
  <dc:description/>
  <cp:lastModifiedBy>Администратор</cp:lastModifiedBy>
  <cp:revision>29</cp:revision>
  <dcterms:created xsi:type="dcterms:W3CDTF">2012-09-11T12:50:00Z</dcterms:created>
  <dcterms:modified xsi:type="dcterms:W3CDTF">2014-06-16T06:17:00Z</dcterms:modified>
</cp:coreProperties>
</file>